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after="80"/>
      </w:pPr>
      <w:r>
        <w:rPr>
          <w:rFonts w:ascii="Tahoma" w:hAnsi="Tahoma" w:cs="Tahoma" w:eastAsia="Tahoma"/>
          <w:b/>
          <w:color w:val="1B2A4A"/>
          <w:sz w:val="26"/>
        </w:rPr>
        <w:t>อัปเดตโครงการปรับปรุงคลังสินค้า (MOCK DATA)</w:t>
      </w:r>
    </w:p>
    <w:p>
      <w:pPr>
        <w:spacing w:after="80"/>
      </w:pPr>
      <w:r>
        <w:rPr>
          <w:rFonts w:ascii="Tahoma" w:hAnsi="Tahoma" w:cs="Tahoma" w:eastAsia="Tahoma"/>
          <w:b w:val="0"/>
          <w:sz w:val="20"/>
        </w:rPr>
        <w:t>งานโยธาเสร็จ 80%</w:t>
      </w:r>
    </w:p>
    <w:p>
      <w:pPr>
        <w:spacing w:after="80"/>
      </w:pPr>
      <w:r>
        <w:rPr>
          <w:rFonts w:ascii="Tahoma" w:hAnsi="Tahoma" w:cs="Tahoma" w:eastAsia="Tahoma"/>
          <w:b w:val="0"/>
          <w:sz w:val="20"/>
        </w:rPr>
        <w:t>ติดตั้งระบบชั่งใหม่ สัปดาห์ที่ 3 ของ มิ.ย.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